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Статья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5125875" cy="3436115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5875" cy="3436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Jakob, Lena, et al. "Thermal reaction norms of key metabolic enzymes reflect divergent physiological and behavioral adaptations of closely related amphipod species."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22222"/>
          <w:sz w:val="24"/>
          <w:szCs w:val="24"/>
          <w:highlight w:val="white"/>
          <w:rtl w:val="0"/>
        </w:rPr>
        <w:t xml:space="preserve">Scientific Reports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 11.1 (2021): 4562.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Графический абстракт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228600</wp:posOffset>
            </wp:positionH>
            <wp:positionV relativeFrom="paragraph">
              <wp:posOffset>304800</wp:posOffset>
            </wp:positionV>
            <wp:extent cx="5781675" cy="3847184"/>
            <wp:effectExtent b="0" l="0" r="0" t="0"/>
            <wp:wrapNone/>
            <wp:docPr id="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8471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36"/>
          <w:szCs w:val="36"/>
        </w:rPr>
        <w:sectPr>
          <w:headerReference r:id="rId8" w:type="default"/>
          <w:pgSz w:h="16838" w:w="11906" w:orient="portrait"/>
          <w:pgMar w:bottom="566.9291338582677" w:top="566.9291338582677" w:left="566.9291338582677" w:right="566.9291338582677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Резюме.</w:t>
      </w:r>
    </w:p>
    <w:p w:rsidR="00000000" w:rsidDel="00000000" w:rsidP="00000000" w:rsidRDefault="00000000" w:rsidRPr="00000000" w14:paraId="0000000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озере Байкал обитает более 300 видов эндемичных амфипод, которые являются стенотермами из-за высокой межвидовой конкуренции. В данной работе было проведено исследование термической пластичности энергетического метаболизма эндемиков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Eulimnogammarus verrucosus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(стенотерм) 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Eulimnogammarus cyaneus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(эвритерм) и голарктического вида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Gammarus lacustris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который также является эвритермом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(из трех видов в статье далее нами были проанализированы результаты анализов одного эндемичного вида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Eulimnogammarus verrucosus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(рис. 1)). Был проведен эксперимент, который повторял прогревание литоральных вод в летний период и процессе этого нагревания было проведено несколько измерений активности ферментов. В результате этой работы было выяснено, что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снижение уровня экспрессии генов выявило некоторую термическую компенсацию у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E. cyaneus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но не у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G. lacustris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У всех видов сдвиги в активности ферментов благоприятствовали выработке гликолитической энергии в тепле. Конгруэнтные температурные зависимости активности ферментов и рутинного метаболизма у E. verrucosus указывают на сильную обратную регуляцию ферментативной активности реакциями всего организма. Видоспецифичные нормы тепловых реакций отражают различные экологические ниши, включая пространственное распределение, характерное тепловое поведение, такое как температурно-зависимая миграция.</w:t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270964" cy="4174141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0964" cy="4174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1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Eulimnogammarus verrucosus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40"/>
          <w:szCs w:val="40"/>
        </w:rPr>
        <w:sectPr>
          <w:type w:val="nextPage"/>
          <w:pgSz w:h="16838" w:w="11906" w:orient="portrait"/>
          <w:pgMar w:bottom="566.9291338582677" w:top="566.9291338582677" w:left="566.9291338582677" w:right="566.9291338582677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Методы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Использованные программы: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 version 2024.12.0.0 (были использованы следующие пакеты: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openxlsx,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ggplot2,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dplyr, ggpubr) для построения графиков с отображенной статистикой</w:t>
      </w:r>
    </w:p>
    <w:p w:rsidR="00000000" w:rsidDel="00000000" w:rsidP="00000000" w:rsidRDefault="00000000" w:rsidRPr="00000000" w14:paraId="00000011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sz w:val="21"/>
          <w:szCs w:val="21"/>
          <w:highlight w:val="white"/>
          <w:rtl w:val="0"/>
        </w:rPr>
        <w:t xml:space="preserve">〇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penxlsx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R предназначен </w:t>
      </w:r>
      <w:r w:rsidDel="00000000" w:rsidR="00000000" w:rsidRPr="00000000">
        <w:rPr>
          <w:rFonts w:ascii="Times New Roman" w:cs="Times New Roman" w:eastAsia="Times New Roman" w:hAnsi="Times New Roman"/>
          <w:color w:val="990000"/>
          <w:sz w:val="28"/>
          <w:szCs w:val="28"/>
          <w:rtl w:val="0"/>
        </w:rPr>
        <w:t xml:space="preserve">для чтения и записи файлов Excel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без необходимости установки дополнительных программных библиотек, таких как Java или Microsoft Office. Этот пакет позволяет работать с файлами формата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.xlsx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непосредственно через R, предоставляя удобные функции для создания, редактирования и сохранения книг Excel.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jc w:val="both"/>
        <w:rPr>
          <w:rFonts w:ascii="Times New Roman" w:cs="Times New Roman" w:eastAsia="Times New Roman" w:hAnsi="Times New Roman"/>
          <w:color w:val="990000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sz w:val="21"/>
          <w:szCs w:val="21"/>
          <w:highlight w:val="white"/>
          <w:rtl w:val="0"/>
        </w:rPr>
        <w:t xml:space="preserve">〇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ggplot2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– это популярный пакет для создания графиков и визуализаций данных в среде программирования R. Его основной принцип основан на грамматике графики (grammar of graphics), которая позволяет </w:t>
      </w:r>
      <w:r w:rsidDel="00000000" w:rsidR="00000000" w:rsidRPr="00000000">
        <w:rPr>
          <w:rFonts w:ascii="Times New Roman" w:cs="Times New Roman" w:eastAsia="Times New Roman" w:hAnsi="Times New Roman"/>
          <w:color w:val="990000"/>
          <w:sz w:val="28"/>
          <w:szCs w:val="28"/>
          <w:rtl w:val="0"/>
        </w:rPr>
        <w:t xml:space="preserve">строить сложные графики пошагово, добавляя слои данных, геометрические объекты, координаты, шкалы и темы оформления.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sz w:val="21"/>
          <w:szCs w:val="21"/>
          <w:highlight w:val="white"/>
          <w:rtl w:val="0"/>
        </w:rPr>
        <w:t xml:space="preserve">〇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ggpubr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– это расширение для популярного пакета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ggplot2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которое упрощает создание красивых и профессионально оформленных графиков для научных публикаций. Он включает в себя множество функций, позволяющих быстро и эффективно создавать графики, соответствующие стандартам журналов и научных конференций.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66666"/>
          <w:sz w:val="21"/>
          <w:szCs w:val="21"/>
          <w:highlight w:val="white"/>
          <w:rtl w:val="0"/>
        </w:rPr>
        <w:t xml:space="preserve">〇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dplyr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является одним из самых популярных пакетов для работы с данными в среде программирования R. Он предоставляет удобный синтаксис и мощные функции для выполнения различных операций над таблицами данных, таких как </w:t>
      </w:r>
      <w:r w:rsidDel="00000000" w:rsidR="00000000" w:rsidRPr="00000000">
        <w:rPr>
          <w:rFonts w:ascii="Times New Roman" w:cs="Times New Roman" w:eastAsia="Times New Roman" w:hAnsi="Times New Roman"/>
          <w:color w:val="990000"/>
          <w:sz w:val="28"/>
          <w:szCs w:val="28"/>
          <w:rtl w:val="0"/>
        </w:rPr>
        <w:t xml:space="preserve">фильтрация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сортировка, группировка, агрегирование и преобразование данных. </w:t>
      </w:r>
    </w:p>
    <w:p w:rsidR="00000000" w:rsidDel="00000000" w:rsidP="00000000" w:rsidRDefault="00000000" w:rsidRPr="00000000" w14:paraId="00000015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кода в R для построения графиков (рис. 2, 3) </w:t>
      </w:r>
    </w:p>
    <w:p w:rsidR="00000000" w:rsidDel="00000000" w:rsidP="00000000" w:rsidRDefault="00000000" w:rsidRPr="00000000" w14:paraId="00000017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Jakob &lt;- read.xlsx("Jakob-etal_2021.xlsx", sheet = 1, startRow = 2) #подключение таблицы для анализа и ссылка на нужную страницу в документе</w:t>
      </w:r>
    </w:p>
    <w:p w:rsidR="00000000" w:rsidDel="00000000" w:rsidP="00000000" w:rsidRDefault="00000000" w:rsidRPr="00000000" w14:paraId="00000018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ggplot(Jakob, </w:t>
      </w:r>
    </w:p>
    <w:p w:rsidR="00000000" w:rsidDel="00000000" w:rsidP="00000000" w:rsidRDefault="00000000" w:rsidRPr="00000000" w14:paraId="00000019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   aes(x=factor(`Incubation.temperature.(°C)`), y=`LDH.activity.(U.mg.(FW)-1)`)") + #выбор столбцов для значений осей координаты</w:t>
      </w:r>
    </w:p>
    <w:p w:rsidR="00000000" w:rsidDel="00000000" w:rsidP="00000000" w:rsidRDefault="00000000" w:rsidRPr="00000000" w14:paraId="0000001A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geom_boxplot() + #формат графика</w:t>
      </w:r>
    </w:p>
    <w:p w:rsidR="00000000" w:rsidDel="00000000" w:rsidP="00000000" w:rsidRDefault="00000000" w:rsidRPr="00000000" w14:paraId="0000001B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ylab("LDH activity (U mg (FW)-1)") + xlab("temperature (°C)") + #название оси Y + #названя осей</w:t>
      </w:r>
    </w:p>
    <w:p w:rsidR="00000000" w:rsidDel="00000000" w:rsidP="00000000" w:rsidRDefault="00000000" w:rsidRPr="00000000" w14:paraId="0000001C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geom_pwc(method="wilcox_test", label = "{p.adj}, {p.adj.signif}", </w:t>
      </w:r>
    </w:p>
    <w:p w:rsidR="00000000" w:rsidDel="00000000" w:rsidP="00000000" w:rsidRDefault="00000000" w:rsidRPr="00000000" w14:paraId="0000001D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         p.adjust.method = "holm", ref.group = 1)  #статистика</w:t>
      </w:r>
    </w:p>
    <w:p w:rsidR="00000000" w:rsidDel="00000000" w:rsidP="00000000" w:rsidRDefault="00000000" w:rsidRPr="00000000" w14:paraId="0000001E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кода в R для построения графиков (рис. 4) отличие заключается в том, что в этом коде был использован инструмент “фильтрация”, для анализа части данных в одном столбце, по определенному параметру (в нашем случае наличие в строке значения “HADH”)</w:t>
      </w:r>
    </w:p>
    <w:p w:rsidR="00000000" w:rsidDel="00000000" w:rsidP="00000000" w:rsidRDefault="00000000" w:rsidRPr="00000000" w14:paraId="00000020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Jakob &lt;- read.xlsx("Jakob-etal_2021.xlsx", sheet = 7, startRow = 2)</w:t>
      </w:r>
    </w:p>
    <w:p w:rsidR="00000000" w:rsidDel="00000000" w:rsidP="00000000" w:rsidRDefault="00000000" w:rsidRPr="00000000" w14:paraId="00000021">
      <w:pPr>
        <w:rPr>
          <w:rFonts w:ascii="EB Garamond" w:cs="EB Garamond" w:eastAsia="EB Garamond" w:hAnsi="EB Garamond"/>
          <w:color w:val="990000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color w:val="990000"/>
          <w:sz w:val="24"/>
          <w:szCs w:val="24"/>
          <w:rtl w:val="0"/>
        </w:rPr>
        <w:t xml:space="preserve">ggplot(filter(Jakob, Enzyme == "HADH"),</w:t>
      </w:r>
    </w:p>
    <w:p w:rsidR="00000000" w:rsidDel="00000000" w:rsidP="00000000" w:rsidRDefault="00000000" w:rsidRPr="00000000" w14:paraId="00000022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   aes(x = factor(`Temperature.(°C)`), y = `Gene.expression.(log2.fold.change)`)) +</w:t>
      </w:r>
    </w:p>
    <w:p w:rsidR="00000000" w:rsidDel="00000000" w:rsidP="00000000" w:rsidRDefault="00000000" w:rsidRPr="00000000" w14:paraId="00000023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geom_boxplot() +</w:t>
      </w:r>
    </w:p>
    <w:p w:rsidR="00000000" w:rsidDel="00000000" w:rsidP="00000000" w:rsidRDefault="00000000" w:rsidRPr="00000000" w14:paraId="00000024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labs(y = "Gene expression (log2 fold change)",</w:t>
      </w:r>
    </w:p>
    <w:p w:rsidR="00000000" w:rsidDel="00000000" w:rsidP="00000000" w:rsidRDefault="00000000" w:rsidRPr="00000000" w14:paraId="00000025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     x = "temperature (°C)") +</w:t>
      </w:r>
    </w:p>
    <w:p w:rsidR="00000000" w:rsidDel="00000000" w:rsidP="00000000" w:rsidRDefault="00000000" w:rsidRPr="00000000" w14:paraId="00000026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geom_pwc(method = "wilcox_test", label = "{p.adj}, {p.adj.signif}",</w:t>
      </w:r>
    </w:p>
    <w:p w:rsidR="00000000" w:rsidDel="00000000" w:rsidP="00000000" w:rsidRDefault="00000000" w:rsidRPr="00000000" w14:paraId="00000027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         p.adjust.method = "holm", ref.group = 1)</w:t>
      </w:r>
    </w:p>
    <w:p w:rsidR="00000000" w:rsidDel="00000000" w:rsidP="00000000" w:rsidRDefault="00000000" w:rsidRPr="00000000" w14:paraId="00000028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Adobe Photoshop 2023 для объединения построенных в R графиков в одну картинку для схожести с оригинальными из статьи  и их дальнейшее оформление. 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GIMP is 2.10.38 вместе с Adobe Photoshop 2023 был использован для построения графического абстракта.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Результаты и обсуждение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результате проделанного анализа были получены следующие данные (возле каждого графика приведен оригинал из статьи).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031400" cy="4826716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31400" cy="4826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715125" cy="6216062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6216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rFonts w:ascii="Times New Roman" w:cs="Times New Roman" w:eastAsia="Times New Roman" w:hAnsi="Times New Roman"/>
          <w:i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2 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Видоспецифичные нормы термической реакции максимальной активности фермента. Цитратсинтазу (CS), цитохром-с-оксидазу (COX), 3-гидроксиацил-КоА-дегидрогеназу (HADh), глутаматдегидрогеназу (GDH), пируваткиназу (PK) и лактатдегидрогеназу (LDH) экстрагировали из тканей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22222"/>
          <w:sz w:val="24"/>
          <w:szCs w:val="24"/>
          <w:highlight w:val="white"/>
          <w:rtl w:val="0"/>
        </w:rPr>
        <w:t xml:space="preserve">E. verrucosus. </w:t>
      </w:r>
    </w:p>
    <w:p w:rsidR="00000000" w:rsidDel="00000000" w:rsidP="00000000" w:rsidRDefault="00000000" w:rsidRPr="00000000" w14:paraId="00000034">
      <w:pPr>
        <w:jc w:val="center"/>
        <w:rPr>
          <w:rFonts w:ascii="Roboto" w:cs="Roboto" w:eastAsia="Roboto" w:hAnsi="Roboto"/>
          <w:i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В оригинальной статье выводом, который был сделан по этому графику звучит так “Активность ферментов выравнивается при температурах выше около 15 °C у стенотермального эндемичного вида бокоплавов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22222"/>
          <w:sz w:val="28"/>
          <w:szCs w:val="28"/>
          <w:highlight w:val="white"/>
          <w:rtl w:val="0"/>
        </w:rPr>
        <w:t xml:space="preserve">озера Байкал E. verrucosus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 (за исключением LDH).”, график сделанный мной хоть и в ином формате, но результат тот же, так как и в статье нормализуется все ферменты, кроме лактатдегидрогеназы.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3524250</wp:posOffset>
            </wp:positionH>
            <wp:positionV relativeFrom="page">
              <wp:posOffset>1407689</wp:posOffset>
            </wp:positionV>
            <wp:extent cx="3601675" cy="7057730"/>
            <wp:effectExtent b="0" l="0" r="0" t="0"/>
            <wp:wrapNone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1675" cy="70577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2818175" cy="8499436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8175" cy="8499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3369900</wp:posOffset>
            </wp:positionH>
            <wp:positionV relativeFrom="page">
              <wp:posOffset>881028</wp:posOffset>
            </wp:positionV>
            <wp:extent cx="3392850" cy="8923959"/>
            <wp:effectExtent b="0" l="0" r="0" t="0"/>
            <wp:wrapNone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2850" cy="89239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inline distB="114300" distT="114300" distL="114300" distR="114300">
            <wp:extent cx="2307000" cy="9293292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7000" cy="9293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3.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Соотношения максимальной активности ферментов. Цитратсинтаза (CS), как центральный узел метаболизма, соединяющий углеводы, липиды и белки, используется в качестве знаменателя для расшифровки сдвигов в использовании метаболического топлива. Цитохром-с-оксидаза (COX) является маркером аэробной способности, пируваткиназа (PK) и лактатдегидрогеназа (LDH) используются в качестве индикаторов анаэробного образования АТФ, 3-гидроксиацил-КоА-дегидрогеназа (HADH) необходима для метаболических процессов жирных кислот, а глутаматдегидрогеназа (GDH) представляет собой ключевое звено между катаболическим и анаболическим метаболизмом белка. </w:t>
      </w:r>
    </w:p>
    <w:p w:rsidR="00000000" w:rsidDel="00000000" w:rsidP="00000000" w:rsidRDefault="00000000" w:rsidRPr="00000000" w14:paraId="0000003C">
      <w:pPr>
        <w:jc w:val="center"/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3331800</wp:posOffset>
            </wp:positionH>
            <wp:positionV relativeFrom="page">
              <wp:posOffset>2884350</wp:posOffset>
            </wp:positionV>
            <wp:extent cx="3659550" cy="4688180"/>
            <wp:effectExtent b="0" l="0" r="0" t="0"/>
            <wp:wrapNone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9550" cy="46881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3030900" cy="2900383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0900" cy="2900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3035415" cy="290486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5415" cy="2904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4.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Температурно-зависимая экспрессия РНК-транскриптов ключевых метаболических ферментов. Анализировали транскрипты цитратсинтазы (CS) и 3-гидроксиацил-КоА-дегидрогеназы (HADH) в экстрактах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22222"/>
          <w:sz w:val="24"/>
          <w:szCs w:val="24"/>
          <w:highlight w:val="white"/>
          <w:rtl w:val="0"/>
        </w:rPr>
        <w:t xml:space="preserve">E. verrucosus</w:t>
      </w:r>
      <w:r w:rsidDel="00000000" w:rsidR="00000000" w:rsidRPr="00000000">
        <w:rPr>
          <w:rFonts w:ascii="Gungsuh" w:cs="Gungsuh" w:eastAsia="Gungsuh" w:hAnsi="Gungsuh"/>
          <w:color w:val="222222"/>
          <w:sz w:val="24"/>
          <w:szCs w:val="24"/>
          <w:highlight w:val="white"/>
          <w:rtl w:val="0"/>
        </w:rPr>
        <w:t xml:space="preserve"> при постепенном повышении температуры животных (0,8 °С д)−1). Данные экспрессии выражаются в виде log2-кратного изменения, рассчитанного по отношению к одному и тому же эндогенному контролю (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22222"/>
          <w:sz w:val="24"/>
          <w:szCs w:val="24"/>
          <w:highlight w:val="white"/>
          <w:rtl w:val="0"/>
        </w:rPr>
        <w:t xml:space="preserve">актину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222222"/>
          <w:sz w:val="24"/>
          <w:szCs w:val="24"/>
          <w:highlight w:val="white"/>
          <w:rtl w:val="0"/>
        </w:rPr>
        <w:t xml:space="preserve">gapdh)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42">
      <w:pPr>
        <w:jc w:val="center"/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Вывод.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Полученные результаты принципиально повторяют результаты, полученные в исходной статье, несмотря на то что мы использовали другой формат для визуализации данных.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566.9291338582677" w:top="566.9291338582677" w:left="566.9291338582677" w:right="566.9291338582677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Arial Unicode MS"/>
  <w:font w:name="Gungsuh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EB Garamon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0.png"/><Relationship Id="rId13" Type="http://schemas.openxmlformats.org/officeDocument/2006/relationships/image" Target="media/image5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8.png"/><Relationship Id="rId14" Type="http://schemas.openxmlformats.org/officeDocument/2006/relationships/image" Target="media/image9.png"/><Relationship Id="rId17" Type="http://schemas.openxmlformats.org/officeDocument/2006/relationships/image" Target="media/image3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18" Type="http://schemas.openxmlformats.org/officeDocument/2006/relationships/image" Target="media/image4.png"/><Relationship Id="rId7" Type="http://schemas.openxmlformats.org/officeDocument/2006/relationships/image" Target="media/image11.jpg"/><Relationship Id="rId8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EBGaramond-regular.ttf"/><Relationship Id="rId6" Type="http://schemas.openxmlformats.org/officeDocument/2006/relationships/font" Target="fonts/EBGaramond-bold.ttf"/><Relationship Id="rId7" Type="http://schemas.openxmlformats.org/officeDocument/2006/relationships/font" Target="fonts/EBGaramond-italic.ttf"/><Relationship Id="rId8" Type="http://schemas.openxmlformats.org/officeDocument/2006/relationships/font" Target="fonts/EBGaramon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